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480" w:lineRule="auto"/>
        <w:contextualSpacing/>
        <w:jc w:val="both"/>
        <w:rPr>
          <w:rFonts w:hint="default" w:ascii="Times New Roman" w:hAnsi="Times New Roman" w:cs="Times New Roman" w:eastAsiaTheme="minorEastAsia"/>
          <w:b/>
          <w:sz w:val="28"/>
          <w:szCs w:val="28"/>
          <w:lang w:val="en-US" w:eastAsia="zh-CN"/>
        </w:rPr>
      </w:pPr>
      <w:r>
        <w:rPr>
          <w:rFonts w:hint="eastAsia" w:ascii="Times New Roman" w:hAnsi="Times New Roman" w:cs="Times New Roman"/>
          <w:b/>
          <w:sz w:val="28"/>
          <w:szCs w:val="28"/>
          <w:lang w:val="en-US" w:eastAsia="zh-CN"/>
        </w:rPr>
        <w:t>Supplementary figure legends</w:t>
      </w:r>
      <w:bookmarkStart w:id="0" w:name="_GoBack"/>
      <w:bookmarkEnd w:id="0"/>
    </w:p>
    <w:p>
      <w:pPr>
        <w:spacing w:after="0" w:line="480" w:lineRule="auto"/>
        <w:contextualSpacing/>
        <w:jc w:val="both"/>
        <w:rPr>
          <w:rFonts w:ascii="Times New Roman" w:hAnsi="Times New Roman" w:cs="Times New Roman"/>
          <w:b/>
          <w:sz w:val="24"/>
          <w:szCs w:val="24"/>
        </w:rPr>
      </w:pPr>
    </w:p>
    <w:p>
      <w:pPr>
        <w:spacing w:after="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SFigure 1 The intersection of differentially expressed genes showed significant synergistic expression behavior.</w:t>
      </w:r>
    </w:p>
    <w:p>
      <w:pPr>
        <w:spacing w:after="0"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(A). Schematic representation of the biological information analysis used in this study. WGCNA, weighted gene coexpression network analysis. GO, Gene ontology. KEGG, Kyoto Encyclopedia of Genes and Genomes. TF, Transcription factor. ncRNA, noncoding RNA.</w:t>
      </w:r>
    </w:p>
    <w:p>
      <w:pPr>
        <w:spacing w:after="0"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(B). Venn diagram showing the intersection of differential genes between Bel7404/OXA-NC VS. Bel7404/OXA-RBM8A-KD cells (blue circle) and MHCC97H/OXA-NC VS. MHCC97H/OXA-RBM8A-OE cells (yellow circle).</w:t>
      </w:r>
    </w:p>
    <w:p>
      <w:pPr>
        <w:spacing w:after="0"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(C). The intersection gene analysis identified five modules based on cooperative expression behavior. Each color of the X-axis represents a module, and the Y-axis represents the weight of the corresponding module.</w:t>
      </w:r>
    </w:p>
    <w:p>
      <w:pPr>
        <w:spacing w:after="0"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(D). The heat map of the coexpressed gene module. The expression behavior of the same module gene is synergistic, and the expression of the nonidentical gene is different.</w:t>
      </w:r>
    </w:p>
    <w:p>
      <w:pPr>
        <w:spacing w:after="0"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(E). The correlation heat map between gene modules. The XY axes represent the module, and the color along the XY axes corresponds to the correlation between the modules from 1 (high correlation, red) to 0 (low correlation, blue).</w:t>
      </w:r>
    </w:p>
    <w:p>
      <w:pPr>
        <w:spacing w:after="0"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(F). Cluster tree diagram of the gene modules. There are tree-like distance relationships between modules. Among them, the circle color corresponds to the module color, while the adjacent circle represents the tree-like neighbor relationship between the two modules.</w:t>
      </w:r>
    </w:p>
    <w:p>
      <w:pPr>
        <w:spacing w:after="0"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(G). The relationship heat map of module phenotypic characteristics. The X-axis represents different HCC cell lines, while the Y-axis represents a coexpression module. The box color along the XY axes corresponds to intermodule correlation from 1 (positive correlation, red) to -1 (negative correlation, blue). The numbers in the box represent the relevance score.</w:t>
      </w:r>
    </w:p>
    <w:p>
      <w:pPr>
        <w:spacing w:after="0" w:line="480" w:lineRule="auto"/>
        <w:contextualSpacing/>
        <w:jc w:val="both"/>
        <w:rPr>
          <w:rFonts w:ascii="Times New Roman" w:hAnsi="Times New Roman" w:cs="Times New Roman"/>
          <w:b/>
          <w:sz w:val="24"/>
          <w:szCs w:val="24"/>
        </w:rPr>
      </w:pPr>
    </w:p>
    <w:p>
      <w:pPr>
        <w:spacing w:after="0" w:line="480" w:lineRule="auto"/>
        <w:contextualSpacing/>
        <w:jc w:val="both"/>
        <w:rPr>
          <w:rFonts w:ascii="Times New Roman" w:hAnsi="Times New Roman" w:cs="Times New Roman"/>
          <w:b/>
          <w:sz w:val="24"/>
          <w:szCs w:val="24"/>
        </w:rPr>
      </w:pPr>
    </w:p>
    <w:p>
      <w:pPr>
        <w:spacing w:after="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SFigure 2 qRT-PCR analysis of lncRNA and transcription factor expression in HCC cell lines.</w:t>
      </w:r>
    </w:p>
    <w:p>
      <w:pPr>
        <w:spacing w:after="0" w:line="480" w:lineRule="auto"/>
        <w:contextualSpacing/>
        <w:jc w:val="both"/>
        <w:rPr>
          <w:rFonts w:hint="eastAsia" w:ascii="Times New Roman" w:hAnsi="Times New Roman" w:cs="Times New Roman"/>
          <w:bCs/>
          <w:sz w:val="24"/>
          <w:szCs w:val="24"/>
          <w:lang w:val="en-US" w:eastAsia="zh-CN"/>
        </w:rPr>
      </w:pPr>
      <w:r>
        <w:rPr>
          <w:rFonts w:ascii="Times New Roman" w:hAnsi="Times New Roman" w:cs="Times New Roman"/>
          <w:bCs/>
          <w:sz w:val="24"/>
          <w:szCs w:val="24"/>
        </w:rPr>
        <w:t>qRT-PCR analysis of the lncRNAs MALAT1 and FENDRR and the transcription factors MYC, STAT3, P53, E2F1, YY1, HDAC1, and HDAC9 in HCC cell lines. After RBM8A was overexpressed or knocked down in PCLs and DR-HCC cells, qRT-PCR validation revealed that HDAC9 expression regulated by RBM</w:t>
      </w:r>
      <w:r>
        <w:rPr>
          <w:rFonts w:hint="eastAsia" w:ascii="Times New Roman" w:hAnsi="Times New Roman" w:cs="Times New Roman"/>
          <w:bCs/>
          <w:sz w:val="24"/>
          <w:szCs w:val="24"/>
          <w:lang w:val="en-US" w:eastAsia="zh-CN"/>
        </w:rPr>
        <w:t>.</w:t>
      </w:r>
    </w:p>
    <w:p>
      <w:pPr>
        <w:spacing w:after="0" w:line="480" w:lineRule="auto"/>
        <w:contextualSpacing/>
        <w:jc w:val="both"/>
        <w:rPr>
          <w:rFonts w:hint="eastAsia" w:ascii="Times New Roman" w:hAnsi="Times New Roman" w:cs="Times New Roman"/>
          <w:bCs/>
          <w:sz w:val="24"/>
          <w:szCs w:val="24"/>
          <w:lang w:val="en-US" w:eastAsia="zh-CN"/>
        </w:rPr>
      </w:pPr>
    </w:p>
    <w:p>
      <w:pPr>
        <w:spacing w:after="0" w:line="480" w:lineRule="auto"/>
        <w:contextualSpacing/>
        <w:jc w:val="both"/>
        <w:rPr>
          <w:rFonts w:hint="eastAsia" w:ascii="Times New Roman" w:hAnsi="Times New Roman" w:cs="Times New Roman"/>
          <w:b/>
          <w:bCs w:val="0"/>
          <w:sz w:val="24"/>
          <w:szCs w:val="24"/>
          <w:lang w:val="en-US" w:eastAsia="zh-CN"/>
        </w:rPr>
      </w:pPr>
      <w:r>
        <w:rPr>
          <w:rFonts w:hint="eastAsia" w:ascii="Times New Roman" w:hAnsi="Times New Roman" w:cs="Times New Roman"/>
          <w:b/>
          <w:bCs w:val="0"/>
          <w:sz w:val="24"/>
          <w:szCs w:val="24"/>
          <w:lang w:val="en-US" w:eastAsia="zh-CN"/>
        </w:rPr>
        <w:t>Table S1 Intersection of differentially expressed genes between Bel7404RBM8A knockdown cell line and MHCC97HOXA and RBM8A cell line</w:t>
      </w:r>
    </w:p>
    <w:p>
      <w:pPr>
        <w:spacing w:after="0" w:line="480" w:lineRule="auto"/>
        <w:contextualSpacing/>
        <w:jc w:val="both"/>
        <w:rPr>
          <w:rFonts w:hint="eastAsia" w:ascii="Times New Roman" w:hAnsi="Times New Roman" w:cs="Times New Roman"/>
          <w:b/>
          <w:bCs w:val="0"/>
          <w:sz w:val="24"/>
          <w:szCs w:val="24"/>
          <w:lang w:val="en-US" w:eastAsia="zh-CN"/>
        </w:rPr>
      </w:pPr>
    </w:p>
    <w:p>
      <w:pPr>
        <w:spacing w:after="0" w:line="480" w:lineRule="auto"/>
        <w:contextualSpacing/>
        <w:jc w:val="both"/>
        <w:rPr>
          <w:rFonts w:hint="eastAsia" w:ascii="Times New Roman" w:hAnsi="Times New Roman" w:cs="Times New Roman"/>
          <w:b/>
          <w:bCs w:val="0"/>
          <w:sz w:val="24"/>
          <w:szCs w:val="24"/>
          <w:lang w:val="en-US" w:eastAsia="zh-CN"/>
        </w:rPr>
      </w:pPr>
      <w:r>
        <w:rPr>
          <w:rFonts w:hint="eastAsia" w:ascii="Times New Roman" w:hAnsi="Times New Roman" w:cs="Times New Roman"/>
          <w:b/>
          <w:bCs w:val="0"/>
          <w:sz w:val="24"/>
          <w:szCs w:val="24"/>
          <w:lang w:val="en-US" w:eastAsia="zh-CN"/>
        </w:rPr>
        <w:t>Table S2 Biological Process of modular gene involvement</w:t>
      </w:r>
    </w:p>
    <w:p>
      <w:pPr>
        <w:spacing w:after="0" w:line="480" w:lineRule="auto"/>
        <w:contextualSpacing/>
        <w:jc w:val="both"/>
        <w:rPr>
          <w:rFonts w:hint="eastAsia" w:ascii="Times New Roman" w:hAnsi="Times New Roman" w:cs="Times New Roman"/>
          <w:b/>
          <w:bCs w:val="0"/>
          <w:sz w:val="24"/>
          <w:szCs w:val="24"/>
          <w:lang w:val="en-US" w:eastAsia="zh-CN"/>
        </w:rPr>
      </w:pPr>
    </w:p>
    <w:p>
      <w:pPr>
        <w:spacing w:after="0" w:line="480" w:lineRule="auto"/>
        <w:contextualSpacing/>
        <w:jc w:val="both"/>
        <w:rPr>
          <w:rFonts w:hint="eastAsia" w:ascii="Times New Roman" w:hAnsi="Times New Roman" w:cs="Times New Roman"/>
          <w:b/>
          <w:bCs w:val="0"/>
          <w:sz w:val="24"/>
          <w:szCs w:val="24"/>
          <w:lang w:val="en-US" w:eastAsia="zh-CN"/>
        </w:rPr>
      </w:pPr>
      <w:r>
        <w:rPr>
          <w:rFonts w:hint="eastAsia" w:ascii="Times New Roman" w:hAnsi="Times New Roman" w:cs="Times New Roman"/>
          <w:b/>
          <w:bCs w:val="0"/>
          <w:sz w:val="24"/>
          <w:szCs w:val="24"/>
          <w:lang w:val="en-US" w:eastAsia="zh-CN"/>
        </w:rPr>
        <w:t>Table S3 Signaling pathways of modular gene involvement</w:t>
      </w:r>
    </w:p>
    <w:p>
      <w:pPr>
        <w:spacing w:after="0" w:line="480" w:lineRule="auto"/>
        <w:contextualSpacing/>
        <w:jc w:val="both"/>
        <w:rPr>
          <w:rFonts w:hint="eastAsia" w:ascii="Times New Roman" w:hAnsi="Times New Roman" w:cs="Times New Roman"/>
          <w:b/>
          <w:bCs w:val="0"/>
          <w:sz w:val="24"/>
          <w:szCs w:val="24"/>
          <w:lang w:val="en-US" w:eastAsia="zh-CN"/>
        </w:rPr>
      </w:pPr>
    </w:p>
    <w:p>
      <w:pPr>
        <w:spacing w:after="0" w:line="480" w:lineRule="auto"/>
        <w:contextualSpacing/>
        <w:jc w:val="both"/>
        <w:rPr>
          <w:rFonts w:hint="eastAsia" w:ascii="Times New Roman" w:hAnsi="Times New Roman" w:cs="Times New Roman"/>
          <w:b/>
          <w:bCs w:val="0"/>
          <w:sz w:val="24"/>
          <w:szCs w:val="24"/>
          <w:lang w:val="en-US" w:eastAsia="zh-CN"/>
        </w:rPr>
      </w:pPr>
      <w:r>
        <w:rPr>
          <w:rFonts w:hint="eastAsia" w:ascii="Times New Roman" w:hAnsi="Times New Roman" w:cs="Times New Roman"/>
          <w:b/>
          <w:bCs w:val="0"/>
          <w:sz w:val="24"/>
          <w:szCs w:val="24"/>
          <w:lang w:val="en-US" w:eastAsia="zh-CN"/>
        </w:rPr>
        <w:t>Table S4 The ncRNA Regulating Modular Genes</w:t>
      </w:r>
    </w:p>
    <w:p>
      <w:pPr>
        <w:spacing w:after="0" w:line="480" w:lineRule="auto"/>
        <w:contextualSpacing/>
        <w:jc w:val="both"/>
        <w:rPr>
          <w:rFonts w:hint="eastAsia" w:ascii="Times New Roman" w:hAnsi="Times New Roman" w:cs="Times New Roman"/>
          <w:b/>
          <w:bCs w:val="0"/>
          <w:sz w:val="24"/>
          <w:szCs w:val="24"/>
          <w:lang w:val="en-US" w:eastAsia="zh-CN"/>
        </w:rPr>
      </w:pPr>
    </w:p>
    <w:p>
      <w:pPr>
        <w:spacing w:after="0" w:line="480" w:lineRule="auto"/>
        <w:contextualSpacing/>
        <w:jc w:val="both"/>
        <w:rPr>
          <w:rFonts w:hint="eastAsia" w:ascii="Times New Roman" w:hAnsi="Times New Roman" w:cs="Times New Roman"/>
          <w:b/>
          <w:bCs w:val="0"/>
          <w:sz w:val="24"/>
          <w:szCs w:val="24"/>
          <w:lang w:val="en-US" w:eastAsia="zh-CN"/>
        </w:rPr>
      </w:pPr>
      <w:r>
        <w:rPr>
          <w:rFonts w:hint="eastAsia" w:ascii="Times New Roman" w:hAnsi="Times New Roman" w:cs="Times New Roman"/>
          <w:b/>
          <w:bCs w:val="0"/>
          <w:sz w:val="24"/>
          <w:szCs w:val="24"/>
          <w:lang w:val="en-US" w:eastAsia="zh-CN"/>
        </w:rPr>
        <w:t>Table S5 The TF Regulating Modular Genes</w:t>
      </w:r>
    </w:p>
    <w:p>
      <w:pPr>
        <w:spacing w:after="0" w:line="480" w:lineRule="auto"/>
        <w:contextualSpacing/>
        <w:jc w:val="both"/>
        <w:rPr>
          <w:rFonts w:hint="eastAsia" w:ascii="Times New Roman" w:hAnsi="Times New Roman" w:cs="Times New Roman"/>
          <w:b/>
          <w:bCs w:val="0"/>
          <w:sz w:val="24"/>
          <w:szCs w:val="24"/>
          <w:lang w:val="en-US" w:eastAsia="zh-CN"/>
        </w:rPr>
      </w:pPr>
    </w:p>
    <w:p>
      <w:pPr>
        <w:spacing w:after="0" w:line="480" w:lineRule="auto"/>
        <w:contextualSpacing/>
        <w:jc w:val="both"/>
        <w:rPr>
          <w:rFonts w:hint="eastAsia" w:ascii="Times New Roman" w:hAnsi="Times New Roman" w:cs="Times New Roman"/>
          <w:b/>
          <w:bCs w:val="0"/>
          <w:sz w:val="24"/>
          <w:szCs w:val="24"/>
          <w:lang w:val="en-US" w:eastAsia="zh-CN"/>
        </w:rPr>
      </w:pPr>
    </w:p>
    <w:p>
      <w:pPr>
        <w:jc w:val="both"/>
        <w:rPr>
          <w:sz w:val="24"/>
          <w:szCs w:val="24"/>
        </w:rPr>
      </w:pPr>
    </w:p>
    <w:sectPr>
      <w:headerReference r:id="rId3" w:type="default"/>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3193877"/>
      <w:docPartObj>
        <w:docPartGallery w:val="autotext"/>
      </w:docPartObj>
    </w:sdtPr>
    <w:sdtContent>
      <w:p>
        <w:pPr>
          <w:pStyle w:val="2"/>
        </w:pPr>
        <w:r>
          <w:fldChar w:fldCharType="begin"/>
        </w:r>
        <w:r>
          <w:instrText xml:space="preserve"> PAGE   \* MERGEFORMAT </w:instrText>
        </w:r>
        <w:r>
          <w:fldChar w:fldCharType="separate"/>
        </w:r>
        <w:r>
          <w:t>5</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024A39"/>
    <w:rsid w:val="2D024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header"/>
    <w:basedOn w:val="1"/>
    <w:unhideWhenUsed/>
    <w:qFormat/>
    <w:uiPriority w:val="99"/>
    <w:pPr>
      <w:widowControl w:val="0"/>
      <w:tabs>
        <w:tab w:val="center" w:pos="4153"/>
        <w:tab w:val="right" w:pos="8306"/>
      </w:tabs>
      <w:snapToGrid w:val="0"/>
      <w:spacing w:after="0" w:line="480" w:lineRule="auto"/>
      <w:jc w:val="right"/>
    </w:pPr>
    <w:rPr>
      <w:rFonts w:ascii="Times New Roman" w:hAnsi="Times New Roman"/>
      <w:kern w:val="2"/>
      <w:sz w:val="24"/>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Office_11.8.2.8721_F1E327BC-269C-435d-A152-05C5408002CA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2019-12-28T08:55:00Z</dcterms:created>
  <dc:creator>LZY80852</dc:creator>
  <cp:lastModifiedBy>LZY80852</cp:lastModifiedBy>
  <dcterms:modified xsi:type="dcterms:W3CDTF">2019-12-28T09:03:15Z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ies>
</file>